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2AA246E9"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#107-e</w:t>
      </w:r>
      <w:r w:rsidRPr="00A277BA">
        <w:rPr>
          <w:rFonts w:ascii="Arial" w:eastAsia="SimSun" w:hAnsi="Arial" w:cs="Times New Roman"/>
          <w:sz w:val="20"/>
          <w:szCs w:val="20"/>
          <w:lang w:eastAsia="en-US"/>
        </w:rPr>
        <w:tab/>
      </w:r>
      <w:r w:rsidR="00284FD2" w:rsidRPr="00284FD2">
        <w:rPr>
          <w:rFonts w:ascii="Arial" w:eastAsia="SimSun" w:hAnsi="Arial" w:cs="Times New Roman"/>
          <w:b/>
          <w:bCs/>
          <w:i/>
          <w:iCs/>
          <w:sz w:val="20"/>
          <w:szCs w:val="20"/>
          <w:lang w:eastAsia="en-US"/>
        </w:rPr>
        <w:t>R1-2111183</w:t>
      </w:r>
    </w:p>
    <w:p w14:paraId="3211EBB9"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4"/>
          <w:lang w:eastAsia="ja-JP"/>
        </w:rPr>
      </w:pPr>
      <w:r w:rsidRPr="00A277BA">
        <w:rPr>
          <w:rFonts w:ascii="Arial" w:eastAsia="MS Mincho" w:hAnsi="Arial" w:cs="Arial"/>
          <w:b/>
          <w:bCs/>
          <w:kern w:val="2"/>
          <w:sz w:val="20"/>
          <w:szCs w:val="24"/>
          <w:lang w:eastAsia="ja-JP"/>
        </w:rPr>
        <w:t>e-Meeting, Nov. 11</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xml:space="preserve"> – 19</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2021</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7C0C404C"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w:t>
      </w:r>
      <w:r w:rsidR="005A7D17">
        <w:rPr>
          <w:rFonts w:ascii="Arial" w:eastAsia="MS Mincho" w:hAnsi="Arial" w:cs="Times New Roman"/>
          <w:b/>
          <w:sz w:val="20"/>
          <w:szCs w:val="20"/>
          <w:lang w:eastAsia="en-US"/>
        </w:rPr>
        <w:t>15.2</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479AAD4E"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D33197">
        <w:rPr>
          <w:rFonts w:ascii="Arial" w:eastAsia="MS Mincho" w:hAnsi="Arial" w:cs="Times New Roman"/>
          <w:b/>
          <w:sz w:val="20"/>
          <w:szCs w:val="20"/>
          <w:lang w:eastAsia="en-US"/>
        </w:rPr>
        <w:t>T</w:t>
      </w:r>
      <w:r w:rsidR="008C088D" w:rsidRPr="008C088D">
        <w:rPr>
          <w:rFonts w:ascii="Arial" w:eastAsia="MS Mincho" w:hAnsi="Arial" w:cs="Times New Roman"/>
          <w:b/>
          <w:sz w:val="20"/>
          <w:szCs w:val="20"/>
          <w:lang w:eastAsia="en-US"/>
        </w:rPr>
        <w:t>iming relationship enhancements for</w:t>
      </w:r>
      <w:r w:rsidR="005607A2">
        <w:rPr>
          <w:rFonts w:ascii="Arial" w:eastAsia="MS Mincho" w:hAnsi="Arial" w:cs="Times New Roman"/>
          <w:b/>
          <w:sz w:val="20"/>
          <w:szCs w:val="20"/>
          <w:lang w:eastAsia="en-US"/>
        </w:rPr>
        <w:t xml:space="preserve"> IoT</w:t>
      </w:r>
      <w:r w:rsidR="008C088D" w:rsidRPr="008C088D">
        <w:rPr>
          <w:rFonts w:ascii="Arial" w:eastAsia="MS Mincho" w:hAnsi="Arial" w:cs="Times New Roman"/>
          <w:b/>
          <w:sz w:val="20"/>
          <w:szCs w:val="20"/>
          <w:lang w:eastAsia="en-US"/>
        </w:rPr>
        <w:t xml:space="preserve">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48B7191D" w14:textId="229AA866" w:rsidR="005607A2" w:rsidRPr="003F7CB4" w:rsidRDefault="005607A2" w:rsidP="005607A2">
      <w:pPr>
        <w:rPr>
          <w:rFonts w:eastAsia="MS Mincho" w:cs="Times New Roman"/>
          <w:lang w:eastAsia="en-US"/>
        </w:rPr>
      </w:pPr>
      <w:r w:rsidRPr="003F7CB4">
        <w:rPr>
          <w:rFonts w:eastAsia="MS Mincho" w:cs="Times New Roman"/>
          <w:lang w:eastAsia="en-US"/>
        </w:rPr>
        <w:t xml:space="preserve">The work item on NB-IoT/eMTC support for NTN was approved at RAN#92-e [1] and one objective is to specify </w:t>
      </w:r>
      <w:r>
        <w:rPr>
          <w:rFonts w:eastAsia="MS Mincho" w:cs="Times New Roman"/>
          <w:lang w:eastAsia="en-US"/>
        </w:rPr>
        <w:t>t</w:t>
      </w:r>
      <w:r w:rsidRPr="005607A2">
        <w:rPr>
          <w:rFonts w:eastAsia="MS Mincho" w:cs="Times New Roman"/>
          <w:lang w:eastAsia="en-US"/>
        </w:rPr>
        <w:t>iming relationship enhancements</w:t>
      </w:r>
      <w:r>
        <w:rPr>
          <w:rFonts w:eastAsia="MS Mincho" w:cs="Times New Roman"/>
          <w:lang w:eastAsia="en-US"/>
        </w:rPr>
        <w:t xml:space="preserve"> for </w:t>
      </w:r>
      <w:r w:rsidR="00986DD2">
        <w:rPr>
          <w:rFonts w:eastAsia="MS Mincho" w:cs="Times New Roman"/>
          <w:lang w:eastAsia="en-US"/>
        </w:rPr>
        <w:t xml:space="preserve">IoT NTN. </w:t>
      </w:r>
      <w:r w:rsidRPr="003F7CB4">
        <w:rPr>
          <w:rFonts w:eastAsia="MS Mincho" w:cs="Times New Roman"/>
          <w:lang w:eastAsia="en-US"/>
        </w:rPr>
        <w:t>In TR 36.763</w:t>
      </w:r>
      <w:r w:rsidR="00D427C5" w:rsidRPr="003F7CB4">
        <w:rPr>
          <w:rFonts w:eastAsia="MS Mincho" w:cs="Times New Roman"/>
          <w:lang w:eastAsia="en-US"/>
        </w:rPr>
        <w:t>[2]</w:t>
      </w:r>
      <w:r w:rsidRPr="003F7CB4">
        <w:rPr>
          <w:rFonts w:eastAsia="MS Mincho" w:cs="Times New Roman"/>
          <w:lang w:eastAsia="en-US"/>
        </w:rPr>
        <w:t>, IoT NTN specific tim</w:t>
      </w:r>
      <w:r w:rsidR="00577BCE">
        <w:rPr>
          <w:rFonts w:eastAsia="MS Mincho" w:cs="Times New Roman"/>
          <w:lang w:eastAsia="en-US"/>
        </w:rPr>
        <w:t xml:space="preserve">ing relationships </w:t>
      </w:r>
      <w:r w:rsidRPr="003F7CB4">
        <w:rPr>
          <w:rFonts w:eastAsia="MS Mincho" w:cs="Times New Roman"/>
          <w:lang w:eastAsia="en-US"/>
        </w:rPr>
        <w:t>enhancements are listed as below:</w:t>
      </w:r>
    </w:p>
    <w:p w14:paraId="4D8E598E" w14:textId="77777777" w:rsidR="00577BCE" w:rsidRPr="00577BCE" w:rsidRDefault="00577BCE" w:rsidP="00577BCE">
      <w:pPr>
        <w:pStyle w:val="B1"/>
        <w:rPr>
          <w:sz w:val="22"/>
          <w:szCs w:val="22"/>
        </w:rPr>
      </w:pPr>
      <w:r>
        <w:t>-</w:t>
      </w:r>
      <w:r>
        <w:tab/>
      </w:r>
      <w:r w:rsidRPr="00577BCE">
        <w:rPr>
          <w:sz w:val="22"/>
          <w:szCs w:val="22"/>
        </w:rPr>
        <w:t xml:space="preserve">Timing relationships for NB-IoT / eMTC: as listed in Section 6.6.3 in TR 36.763 </w:t>
      </w:r>
    </w:p>
    <w:p w14:paraId="690E7620" w14:textId="77777777" w:rsidR="00577BCE" w:rsidRPr="00577BCE" w:rsidRDefault="00577BCE" w:rsidP="00577BCE">
      <w:pPr>
        <w:pStyle w:val="B1"/>
        <w:rPr>
          <w:sz w:val="22"/>
          <w:szCs w:val="22"/>
        </w:rPr>
      </w:pPr>
      <w:r w:rsidRPr="00577BCE">
        <w:rPr>
          <w:sz w:val="22"/>
          <w:szCs w:val="22"/>
        </w:rPr>
        <w:t>-</w:t>
      </w:r>
      <w:r w:rsidRPr="00577BCE">
        <w:rPr>
          <w:sz w:val="22"/>
          <w:szCs w:val="22"/>
        </w:rPr>
        <w:tab/>
        <w:t>UL scheduling for FDD-HD: Use of UE-specific TA and/or K_offset to avoid UL-DL collisions in FDD-HD</w:t>
      </w:r>
    </w:p>
    <w:p w14:paraId="6AD685C9" w14:textId="77777777" w:rsidR="00577BCE" w:rsidRPr="00577BCE" w:rsidRDefault="00577BCE" w:rsidP="00577BCE">
      <w:pPr>
        <w:pStyle w:val="B1"/>
        <w:rPr>
          <w:sz w:val="22"/>
          <w:szCs w:val="22"/>
        </w:rPr>
      </w:pPr>
      <w:r w:rsidRPr="00577BCE">
        <w:rPr>
          <w:sz w:val="22"/>
          <w:szCs w:val="22"/>
        </w:rPr>
        <w:t>-</w:t>
      </w:r>
      <w:r w:rsidRPr="00577BCE">
        <w:rPr>
          <w:sz w:val="22"/>
          <w:szCs w:val="22"/>
        </w:rPr>
        <w:tab/>
        <w:t>Signalling aspects in UE-specific TA maintenance and reporting, techniques to reduce the signalling load and determination of the UE-specific TA.</w:t>
      </w:r>
    </w:p>
    <w:p w14:paraId="5A2E8B0A" w14:textId="0FCD9F58" w:rsidR="000F748C" w:rsidRDefault="005607A2" w:rsidP="005607A2">
      <w:pPr>
        <w:rPr>
          <w:rFonts w:eastAsia="MS Mincho" w:cs="Times New Roman"/>
          <w:lang w:eastAsia="en-US"/>
        </w:rPr>
      </w:pPr>
      <w:r w:rsidRPr="003F7CB4">
        <w:rPr>
          <w:rFonts w:eastAsia="MS Mincho" w:cs="Times New Roman"/>
          <w:lang w:eastAsia="en-US"/>
        </w:rPr>
        <w:t>In this contribution, we discuss our views on</w:t>
      </w:r>
      <w:r w:rsidR="00624631">
        <w:rPr>
          <w:rFonts w:eastAsia="MS Mincho" w:cs="Times New Roman"/>
          <w:lang w:eastAsia="en-US"/>
        </w:rPr>
        <w:t xml:space="preserve"> the remaining issues o</w:t>
      </w:r>
      <w:r w:rsidR="00E44E1B">
        <w:rPr>
          <w:rFonts w:eastAsia="MS Mincho" w:cs="Times New Roman"/>
          <w:lang w:eastAsia="en-US"/>
        </w:rPr>
        <w:t>f</w:t>
      </w:r>
      <w:r w:rsidRPr="003F7CB4">
        <w:rPr>
          <w:rFonts w:eastAsia="MS Mincho" w:cs="Times New Roman"/>
          <w:lang w:eastAsia="en-US"/>
        </w:rPr>
        <w:t xml:space="preserve"> necessary </w:t>
      </w:r>
      <w:r w:rsidR="000F748C">
        <w:rPr>
          <w:rFonts w:eastAsia="MS Mincho" w:cs="Times New Roman"/>
          <w:lang w:eastAsia="en-US"/>
        </w:rPr>
        <w:t xml:space="preserve">enhancements on </w:t>
      </w:r>
      <w:r w:rsidR="000F748C" w:rsidRPr="000F748C">
        <w:rPr>
          <w:rFonts w:eastAsia="MS Mincho" w:cs="Times New Roman"/>
          <w:lang w:eastAsia="en-US"/>
        </w:rPr>
        <w:t>IoT NTN specific timing relationships</w:t>
      </w:r>
      <w:r w:rsidR="000F748C">
        <w:rPr>
          <w:rFonts w:eastAsia="MS Mincho" w:cs="Times New Roman"/>
          <w:lang w:eastAsia="en-US"/>
        </w:rPr>
        <w:t xml:space="preserve">. </w:t>
      </w:r>
    </w:p>
    <w:p w14:paraId="0C3AFB19" w14:textId="77777777" w:rsidR="0082773D" w:rsidRPr="00B328F2" w:rsidRDefault="0082773D" w:rsidP="00690981">
      <w:pPr>
        <w:pStyle w:val="Heading1"/>
      </w:pPr>
      <w:r w:rsidRPr="00B328F2">
        <w:t xml:space="preserve">Discussion </w:t>
      </w:r>
    </w:p>
    <w:p w14:paraId="6029E68D" w14:textId="39D85818" w:rsidR="0039022C" w:rsidRDefault="00591258" w:rsidP="00FE3729">
      <w:pPr>
        <w:pStyle w:val="Heading2"/>
        <w:rPr>
          <w:lang w:eastAsia="ja-JP"/>
        </w:rPr>
      </w:pPr>
      <w:r>
        <w:rPr>
          <w:lang w:eastAsia="ja-JP"/>
        </w:rPr>
        <w:t>PRACH p</w:t>
      </w:r>
      <w:r w:rsidR="0039022C">
        <w:rPr>
          <w:lang w:eastAsia="ja-JP"/>
        </w:rPr>
        <w:t xml:space="preserve">reamble retransmission </w:t>
      </w:r>
      <w:r w:rsidR="0039022C" w:rsidRPr="0039022C">
        <w:rPr>
          <w:lang w:eastAsia="ja-JP"/>
        </w:rPr>
        <w:t xml:space="preserve">for NB-IoT </w:t>
      </w:r>
    </w:p>
    <w:p w14:paraId="013012B5" w14:textId="425CF9A2" w:rsidR="005105EF" w:rsidRDefault="00EC0160" w:rsidP="0039022C">
      <w:pPr>
        <w:rPr>
          <w:lang w:eastAsia="ja-JP"/>
        </w:rPr>
      </w:pPr>
      <w:r>
        <w:rPr>
          <w:lang w:eastAsia="ja-JP"/>
        </w:rPr>
        <w:t xml:space="preserve">Regarding the </w:t>
      </w:r>
      <w:r w:rsidR="008E0600">
        <w:rPr>
          <w:lang w:eastAsia="ja-JP"/>
        </w:rPr>
        <w:t>relatively</w:t>
      </w:r>
      <w:r>
        <w:rPr>
          <w:lang w:eastAsia="ja-JP"/>
        </w:rPr>
        <w:t xml:space="preserve"> large TA in NTN scenario, there is potential necessity to enhance to the timing relationship for preamble retransmission.</w:t>
      </w:r>
      <w:r w:rsidR="005308A7">
        <w:rPr>
          <w:lang w:eastAsia="ja-JP"/>
        </w:rPr>
        <w:t xml:space="preserve"> As it mentioned in TS 36.213, different timing requirements </w:t>
      </w:r>
      <w:r w:rsidR="00AF056B">
        <w:rPr>
          <w:lang w:eastAsia="ja-JP"/>
        </w:rPr>
        <w:t>for preamble retransmission are</w:t>
      </w:r>
      <w:r w:rsidR="005308A7">
        <w:rPr>
          <w:lang w:eastAsia="ja-JP"/>
        </w:rPr>
        <w:t xml:space="preserve"> applied for eMTC and NB-IoT</w:t>
      </w:r>
      <w:r w:rsidR="00D54606">
        <w:rPr>
          <w:lang w:eastAsia="ja-JP"/>
        </w:rPr>
        <w:t>.</w:t>
      </w:r>
    </w:p>
    <w:p w14:paraId="5C7B9163" w14:textId="4DC1A72F" w:rsidR="00D67D47" w:rsidRDefault="00AF056B" w:rsidP="00206EC2">
      <w:pPr>
        <w:pStyle w:val="ListParagraph"/>
        <w:numPr>
          <w:ilvl w:val="0"/>
          <w:numId w:val="26"/>
        </w:numPr>
        <w:rPr>
          <w:lang w:eastAsia="ja-JP"/>
        </w:rPr>
      </w:pPr>
      <w:r w:rsidRPr="005105EF">
        <w:rPr>
          <w:i/>
          <w:iCs/>
          <w:highlight w:val="cyan"/>
          <w:lang w:eastAsia="ja-JP"/>
        </w:rPr>
        <w:t>For eMTC</w:t>
      </w:r>
      <w:r>
        <w:rPr>
          <w:lang w:eastAsia="ja-JP"/>
        </w:rPr>
        <w:t>:</w:t>
      </w:r>
      <w:r w:rsidR="005105EF" w:rsidRPr="005105EF">
        <w:t xml:space="preserve"> </w:t>
      </w:r>
      <w:r w:rsidR="005105EF" w:rsidRPr="002807E0">
        <w:rPr>
          <w:lang w:eastAsia="ja-JP"/>
        </w:rPr>
        <w:t>if the UE fails to receive RAR to a recent PRACH transmission</w:t>
      </w:r>
      <w:r w:rsidR="00222AB7" w:rsidRPr="002807E0">
        <w:t xml:space="preserve"> </w:t>
      </w:r>
      <w:r w:rsidR="00222AB7" w:rsidRPr="002807E0">
        <w:rPr>
          <w:lang w:eastAsia="ja-JP"/>
        </w:rPr>
        <w:t>in the subframe n</w:t>
      </w:r>
      <w:r w:rsidR="00222AB7" w:rsidRPr="002807E0">
        <w:t>;</w:t>
      </w:r>
      <w:r w:rsidR="00222AB7" w:rsidRPr="002807E0">
        <w:rPr>
          <w:lang w:eastAsia="ja-JP"/>
        </w:rPr>
        <w:t xml:space="preserve"> </w:t>
      </w:r>
      <w:r w:rsidR="00222AB7" w:rsidRPr="002807E0">
        <w:t xml:space="preserve">or </w:t>
      </w:r>
      <w:r w:rsidR="00222AB7" w:rsidRPr="002807E0">
        <w:rPr>
          <w:lang w:eastAsia="ja-JP"/>
        </w:rPr>
        <w:t xml:space="preserve">random access response is received and its reception ends in subframe n, </w:t>
      </w:r>
      <w:r w:rsidR="00206EC2" w:rsidRPr="002807E0">
        <w:t xml:space="preserve">and </w:t>
      </w:r>
      <w:r w:rsidR="00222AB7" w:rsidRPr="002807E0">
        <w:t>the corresponding DL-SCH transport block does not contain a response to the transmitted preamble sequence</w:t>
      </w:r>
      <w:r w:rsidR="00206EC2" w:rsidRPr="002807E0">
        <w:t xml:space="preserve">, </w:t>
      </w:r>
      <w:r w:rsidR="005105EF" w:rsidRPr="002807E0">
        <w:rPr>
          <w:lang w:eastAsia="ja-JP"/>
        </w:rPr>
        <w:t xml:space="preserve">the UE shall be, if requested by higher layers, </w:t>
      </w:r>
      <w:r w:rsidR="005105EF" w:rsidRPr="002F19CD">
        <w:rPr>
          <w:highlight w:val="cyan"/>
          <w:lang w:eastAsia="ja-JP"/>
        </w:rPr>
        <w:t>ready to transmit a new preamble sequence no later than in subframe n+4 or n+5</w:t>
      </w:r>
      <w:r w:rsidR="005105EF" w:rsidRPr="002807E0">
        <w:rPr>
          <w:lang w:eastAsia="ja-JP"/>
        </w:rPr>
        <w:t xml:space="preserve"> </w:t>
      </w:r>
      <w:r w:rsidR="002807E0" w:rsidRPr="002807E0">
        <w:t>based</w:t>
      </w:r>
      <w:r w:rsidR="005105EF" w:rsidRPr="002807E0">
        <w:rPr>
          <w:lang w:eastAsia="ja-JP"/>
        </w:rPr>
        <w:t xml:space="preserve"> on different situations.</w:t>
      </w:r>
    </w:p>
    <w:p w14:paraId="3E4C55B4" w14:textId="139235B7" w:rsidR="005105EF" w:rsidRPr="002F19CD" w:rsidRDefault="002807E0" w:rsidP="005105EF">
      <w:pPr>
        <w:pStyle w:val="ListParagraph"/>
        <w:numPr>
          <w:ilvl w:val="0"/>
          <w:numId w:val="26"/>
        </w:numPr>
        <w:rPr>
          <w:highlight w:val="cyan"/>
          <w:lang w:eastAsia="ja-JP"/>
        </w:rPr>
      </w:pPr>
      <w:r w:rsidRPr="002F19CD">
        <w:rPr>
          <w:i/>
          <w:iCs/>
          <w:highlight w:val="cyan"/>
          <w:lang w:eastAsia="ja-JP"/>
        </w:rPr>
        <w:t>For NB-IoT</w:t>
      </w:r>
      <w:r>
        <w:rPr>
          <w:lang w:eastAsia="ja-JP"/>
        </w:rPr>
        <w:t xml:space="preserve">: </w:t>
      </w:r>
      <w:r w:rsidR="00AB313A" w:rsidRPr="00AB313A">
        <w:rPr>
          <w:lang w:eastAsia="ja-JP"/>
        </w:rPr>
        <w:t>if a UE fails to receive RAR to a recent PRACH transmission in the subframe n where it expected to receive the RAR</w:t>
      </w:r>
      <w:r w:rsidR="00AB313A">
        <w:rPr>
          <w:lang w:eastAsia="ja-JP"/>
        </w:rPr>
        <w:t xml:space="preserve">, or </w:t>
      </w:r>
      <w:r w:rsidR="009C50E8" w:rsidRPr="009C50E8">
        <w:rPr>
          <w:lang w:eastAsia="ja-JP"/>
        </w:rPr>
        <w:t>a random access response is received and the corresponding DL-SCH transport block ending in subframe n does not contain a response to the transmitted preamble sequence</w:t>
      </w:r>
      <w:r w:rsidR="009C50E8">
        <w:rPr>
          <w:lang w:eastAsia="ja-JP"/>
        </w:rPr>
        <w:t xml:space="preserve">, or </w:t>
      </w:r>
      <w:r w:rsidR="009C50E8" w:rsidRPr="009C50E8">
        <w:rPr>
          <w:lang w:eastAsia="ja-JP"/>
        </w:rPr>
        <w:t>NPDCCH scheduling random access response with associated RA-RNTI is detected and the corresponding DL-SCH transport block reception ending in subframe n cannot be successfully decoded</w:t>
      </w:r>
      <w:r w:rsidR="009C50E8">
        <w:rPr>
          <w:lang w:eastAsia="ja-JP"/>
        </w:rPr>
        <w:t xml:space="preserve">, </w:t>
      </w:r>
      <w:r w:rsidR="00AB313A" w:rsidRPr="00AB313A">
        <w:rPr>
          <w:lang w:eastAsia="ja-JP"/>
        </w:rPr>
        <w:t xml:space="preserve">the UE shall be, if requested by higher layers, </w:t>
      </w:r>
      <w:r w:rsidR="00AB313A" w:rsidRPr="002F19CD">
        <w:rPr>
          <w:highlight w:val="cyan"/>
          <w:lang w:eastAsia="ja-JP"/>
        </w:rPr>
        <w:t>ready to transmit a new preamble sequence no later than the NB-IoT UL subframe starting 12 milliseconds after the end of subframe n.</w:t>
      </w:r>
    </w:p>
    <w:p w14:paraId="7C06DBC3" w14:textId="77777777" w:rsidR="002F19CD" w:rsidRDefault="002F19CD" w:rsidP="005105EF">
      <w:pPr>
        <w:rPr>
          <w:lang w:eastAsia="ja-JP"/>
        </w:rPr>
      </w:pPr>
    </w:p>
    <w:p w14:paraId="69A2B7A6" w14:textId="7FEBC386" w:rsidR="00EC0160" w:rsidRDefault="002F19CD" w:rsidP="0039022C">
      <w:pPr>
        <w:rPr>
          <w:lang w:eastAsia="ja-JP"/>
        </w:rPr>
      </w:pPr>
      <w:r>
        <w:rPr>
          <w:lang w:eastAsia="ja-JP"/>
        </w:rPr>
        <w:t xml:space="preserve">For eMTC, as the subframes that for preamble retransmission is restrict, it has been agreed in </w:t>
      </w:r>
      <w:r w:rsidR="008E0600">
        <w:rPr>
          <w:lang w:eastAsia="ja-JP"/>
        </w:rPr>
        <w:t>RAN 106bis e-meeting</w:t>
      </w:r>
      <w:r>
        <w:rPr>
          <w:lang w:eastAsia="ja-JP"/>
        </w:rPr>
        <w:t xml:space="preserve">: </w:t>
      </w:r>
    </w:p>
    <w:p w14:paraId="1B48D088" w14:textId="77777777" w:rsidR="008E0600" w:rsidRDefault="008E0600" w:rsidP="008E0600">
      <w:pPr>
        <w:pStyle w:val="NoSpacing"/>
        <w:ind w:left="720"/>
      </w:pPr>
      <w:r w:rsidRPr="00B612FA">
        <w:rPr>
          <w:highlight w:val="green"/>
        </w:rPr>
        <w:t>Agreement:</w:t>
      </w:r>
    </w:p>
    <w:p w14:paraId="5374B045" w14:textId="77777777" w:rsidR="008E0600" w:rsidRPr="00591258" w:rsidRDefault="008E0600" w:rsidP="008E0600">
      <w:pPr>
        <w:pStyle w:val="NoSpacing"/>
        <w:ind w:left="720"/>
        <w:rPr>
          <w:i/>
          <w:iCs/>
        </w:rPr>
      </w:pPr>
      <w:r w:rsidRPr="00591258">
        <w:rPr>
          <w:i/>
          <w:iCs/>
        </w:rPr>
        <w:lastRenderedPageBreak/>
        <w:t xml:space="preserve">For </w:t>
      </w:r>
      <w:r w:rsidRPr="00E317CA">
        <w:rPr>
          <w:i/>
          <w:iCs/>
          <w:highlight w:val="cyan"/>
        </w:rPr>
        <w:t>eMTC</w:t>
      </w:r>
      <w:r w:rsidRPr="00591258">
        <w:rPr>
          <w:i/>
          <w:iCs/>
        </w:rPr>
        <w:t xml:space="preserve"> in IoT NTN, if the UE determines that a preamble retransmission is necessary, the choice of a suitable preamble retransmission subframe shall be delayed by Koffset as compared to current specifications.</w:t>
      </w:r>
    </w:p>
    <w:p w14:paraId="4327B9BF" w14:textId="77777777" w:rsidR="008E0600" w:rsidRDefault="008E0600" w:rsidP="0039022C">
      <w:pPr>
        <w:rPr>
          <w:lang w:eastAsia="ja-JP"/>
        </w:rPr>
      </w:pPr>
    </w:p>
    <w:p w14:paraId="16077CAF" w14:textId="6C7F0C72" w:rsidR="00477DAC" w:rsidRDefault="008E0600" w:rsidP="0039022C">
      <w:pPr>
        <w:rPr>
          <w:lang w:eastAsia="ja-JP"/>
        </w:rPr>
      </w:pPr>
      <w:r>
        <w:rPr>
          <w:lang w:eastAsia="ja-JP"/>
        </w:rPr>
        <w:t>However, whether to enhancement to the corresponding timing relationship is still FFS for NB-IoT.</w:t>
      </w:r>
      <w:r w:rsidR="00D63805">
        <w:rPr>
          <w:lang w:eastAsia="ja-JP"/>
        </w:rPr>
        <w:t xml:space="preserve"> Currently, there are two solutions:</w:t>
      </w:r>
    </w:p>
    <w:p w14:paraId="5D53A21D" w14:textId="1D745509" w:rsidR="00D63805" w:rsidRDefault="00D63805" w:rsidP="00D63805">
      <w:pPr>
        <w:pStyle w:val="ListParagraph"/>
        <w:numPr>
          <w:ilvl w:val="0"/>
          <w:numId w:val="27"/>
        </w:numPr>
        <w:rPr>
          <w:lang w:eastAsia="ja-JP"/>
        </w:rPr>
      </w:pPr>
      <w:r w:rsidRPr="00D63805">
        <w:rPr>
          <w:b/>
          <w:bCs/>
          <w:lang w:eastAsia="ja-JP"/>
        </w:rPr>
        <w:t>Option1:</w:t>
      </w:r>
      <w:r>
        <w:rPr>
          <w:lang w:eastAsia="ja-JP"/>
        </w:rPr>
        <w:t xml:space="preserve"> Enhanc</w:t>
      </w:r>
      <w:r w:rsidR="005B194D">
        <w:rPr>
          <w:lang w:eastAsia="ja-JP"/>
        </w:rPr>
        <w:t>e</w:t>
      </w:r>
      <w:r>
        <w:rPr>
          <w:lang w:eastAsia="ja-JP"/>
        </w:rPr>
        <w:t xml:space="preserve"> the </w:t>
      </w:r>
      <w:r w:rsidRPr="00D63805">
        <w:rPr>
          <w:lang w:eastAsia="ja-JP"/>
        </w:rPr>
        <w:t>preamble retransmission</w:t>
      </w:r>
      <w:r>
        <w:rPr>
          <w:lang w:eastAsia="ja-JP"/>
        </w:rPr>
        <w:t xml:space="preserve"> timing relationship in the same way as eMTC</w:t>
      </w:r>
      <w:r w:rsidR="005B194D">
        <w:rPr>
          <w:lang w:eastAsia="ja-JP"/>
        </w:rPr>
        <w:t>.</w:t>
      </w:r>
    </w:p>
    <w:p w14:paraId="58F23A92" w14:textId="121CB7EF" w:rsidR="00D63805" w:rsidRDefault="00D63805" w:rsidP="00D63805">
      <w:pPr>
        <w:pStyle w:val="ListParagraph"/>
        <w:numPr>
          <w:ilvl w:val="0"/>
          <w:numId w:val="27"/>
        </w:numPr>
        <w:rPr>
          <w:lang w:eastAsia="ja-JP"/>
        </w:rPr>
      </w:pPr>
      <w:r w:rsidRPr="00D63805">
        <w:rPr>
          <w:b/>
          <w:bCs/>
          <w:lang w:eastAsia="ja-JP"/>
        </w:rPr>
        <w:t>Option 2</w:t>
      </w:r>
      <w:r>
        <w:rPr>
          <w:lang w:eastAsia="ja-JP"/>
        </w:rPr>
        <w:t xml:space="preserve">: </w:t>
      </w:r>
      <w:r w:rsidR="0079675C">
        <w:rPr>
          <w:lang w:eastAsia="ja-JP"/>
        </w:rPr>
        <w:t xml:space="preserve">no enhancement is needed. </w:t>
      </w:r>
    </w:p>
    <w:p w14:paraId="6B1D9FD5" w14:textId="6105AE27" w:rsidR="006811B4" w:rsidRDefault="005B4545" w:rsidP="0079675C">
      <w:pPr>
        <w:rPr>
          <w:lang w:eastAsia="ja-JP"/>
        </w:rPr>
      </w:pPr>
      <w:r>
        <w:rPr>
          <w:lang w:eastAsia="ja-JP"/>
        </w:rPr>
        <w:t>Regarding the legacy specification for NB-IoT UE, it is allowed to re</w:t>
      </w:r>
      <w:r w:rsidRPr="005B4545">
        <w:rPr>
          <w:lang w:eastAsia="ja-JP"/>
        </w:rPr>
        <w:t>transmit a new preamble no later than the NB-IoT UL subframe starting 12 milliseconds after the end of subframe n.</w:t>
      </w:r>
      <w:r w:rsidR="009440B7">
        <w:rPr>
          <w:lang w:eastAsia="ja-JP"/>
        </w:rPr>
        <w:t xml:space="preserve"> The current spec provides flexibility to the UE to schedule the preamble retransmission. However, considering the large TA in NTN scenarios, especially in GEO</w:t>
      </w:r>
      <w:r w:rsidR="009440B7" w:rsidRPr="009440B7">
        <w:rPr>
          <w:lang w:eastAsia="ja-JP"/>
        </w:rPr>
        <w:t xml:space="preserve"> </w:t>
      </w:r>
      <w:r w:rsidR="009440B7">
        <w:rPr>
          <w:lang w:eastAsia="ja-JP"/>
        </w:rPr>
        <w:t>scenarios, the limitation of 12 ms may</w:t>
      </w:r>
      <w:r w:rsidR="006811B4">
        <w:rPr>
          <w:lang w:eastAsia="ja-JP"/>
        </w:rPr>
        <w:t xml:space="preserve"> introduce constraints to the</w:t>
      </w:r>
      <w:r w:rsidR="00162BBF">
        <w:rPr>
          <w:lang w:eastAsia="ja-JP"/>
        </w:rPr>
        <w:t xml:space="preserve"> system. The 12 ms may also be shorter than the TA</w:t>
      </w:r>
      <w:r w:rsidR="006811B4">
        <w:rPr>
          <w:lang w:eastAsia="ja-JP"/>
        </w:rPr>
        <w:t xml:space="preserve">. </w:t>
      </w:r>
      <w:r w:rsidR="00A33410">
        <w:rPr>
          <w:lang w:eastAsia="ja-JP"/>
        </w:rPr>
        <w:t xml:space="preserve">To avoid </w:t>
      </w:r>
      <w:r w:rsidR="00162BBF">
        <w:rPr>
          <w:lang w:eastAsia="ja-JP"/>
        </w:rPr>
        <w:t xml:space="preserve">any </w:t>
      </w:r>
      <w:r w:rsidR="00A33410">
        <w:rPr>
          <w:lang w:eastAsia="ja-JP"/>
        </w:rPr>
        <w:t xml:space="preserve">potential limitation that might be introduced to NB-IoT in NTN, we support to enhancement the timing relationship of preamble retransmission </w:t>
      </w:r>
      <w:r w:rsidR="000F5C30">
        <w:rPr>
          <w:lang w:eastAsia="ja-JP"/>
        </w:rPr>
        <w:t xml:space="preserve">in the similar way as </w:t>
      </w:r>
      <w:r w:rsidR="00162BBF">
        <w:rPr>
          <w:lang w:eastAsia="ja-JP"/>
        </w:rPr>
        <w:t xml:space="preserve">that for </w:t>
      </w:r>
      <w:r w:rsidR="000F5C30">
        <w:rPr>
          <w:lang w:eastAsia="ja-JP"/>
        </w:rPr>
        <w:t>eMTC.</w:t>
      </w:r>
    </w:p>
    <w:p w14:paraId="2BEABBE9" w14:textId="50767E24" w:rsidR="000F5C30" w:rsidRPr="000F5C30" w:rsidRDefault="000F5C30" w:rsidP="000F5C30">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762039"/>
      <w:r w:rsidRPr="000F5C30">
        <w:rPr>
          <w:b/>
          <w:bCs/>
          <w:lang w:eastAsia="ko-KR"/>
        </w:rPr>
        <w:t>For NB-IoT in IoT NTN, if the UE determines that a preamble retransmission is necessary, the choice of a suitable preamble retransmission subframe shall be delayed by Koffset as compared to current specifications.</w:t>
      </w:r>
      <w:bookmarkEnd w:id="0"/>
    </w:p>
    <w:p w14:paraId="23B549E8" w14:textId="153C5B78" w:rsidR="00DE7194" w:rsidRDefault="00DE7194" w:rsidP="00DE7194">
      <w:pPr>
        <w:pStyle w:val="Heading2"/>
        <w:rPr>
          <w:lang w:eastAsia="ja-JP"/>
        </w:rPr>
      </w:pPr>
      <w:r w:rsidRPr="00DE7194">
        <w:rPr>
          <w:lang w:eastAsia="ja-JP"/>
        </w:rPr>
        <w:t>PUSCH using PUR</w:t>
      </w:r>
    </w:p>
    <w:p w14:paraId="6DEBC624" w14:textId="4C43C101" w:rsidR="00DE7194" w:rsidRDefault="00283459" w:rsidP="00DE7194">
      <w:r>
        <w:rPr>
          <w:lang w:eastAsia="ja-JP"/>
        </w:rPr>
        <w:t xml:space="preserve">In the previous two RAN1 meetings, supporting of PUR has been discussed. The following agreements have been in RAN1 106bis e-meeting: </w:t>
      </w:r>
    </w:p>
    <w:p w14:paraId="409B9652" w14:textId="77777777" w:rsidR="00DE7194" w:rsidRPr="00DE7194" w:rsidRDefault="00DE7194" w:rsidP="00DE7194">
      <w:pPr>
        <w:pStyle w:val="NoSpacing"/>
        <w:ind w:left="720"/>
        <w:rPr>
          <w:sz w:val="20"/>
          <w:szCs w:val="20"/>
        </w:rPr>
      </w:pPr>
      <w:r w:rsidRPr="00DE7194">
        <w:rPr>
          <w:sz w:val="20"/>
          <w:szCs w:val="20"/>
          <w:highlight w:val="green"/>
        </w:rPr>
        <w:t>Agreement:</w:t>
      </w:r>
    </w:p>
    <w:p w14:paraId="2BE2A18E" w14:textId="77777777" w:rsidR="00DE7194" w:rsidRPr="00DE7194" w:rsidRDefault="00DE7194" w:rsidP="00DE7194">
      <w:pPr>
        <w:pStyle w:val="NoSpacing"/>
        <w:ind w:left="720"/>
        <w:rPr>
          <w:i/>
          <w:iCs/>
          <w:sz w:val="20"/>
          <w:szCs w:val="20"/>
        </w:rPr>
      </w:pPr>
      <w:r w:rsidRPr="00DE7194">
        <w:rPr>
          <w:i/>
          <w:iCs/>
          <w:sz w:val="20"/>
          <w:szCs w:val="20"/>
        </w:rPr>
        <w:t xml:space="preserve">For </w:t>
      </w:r>
      <w:r w:rsidRPr="00DE7194">
        <w:rPr>
          <w:i/>
          <w:iCs/>
          <w:sz w:val="20"/>
          <w:szCs w:val="20"/>
          <w:highlight w:val="cyan"/>
        </w:rPr>
        <w:t>NB-IoT</w:t>
      </w:r>
      <w:r w:rsidRPr="00DE7194">
        <w:rPr>
          <w:i/>
          <w:iCs/>
          <w:sz w:val="20"/>
          <w:szCs w:val="20"/>
        </w:rPr>
        <w:t>, if the UE has initiated an NPUSCH transmission using pre-configured uplink resources ending in subframe n, the UE shall start or restart to monitor the NPDCCH from DL subframe n+4+K_mac (where K_mac is defined as in NR-NTN).</w:t>
      </w:r>
    </w:p>
    <w:p w14:paraId="305C8F4A" w14:textId="77777777" w:rsidR="00DE7194" w:rsidRPr="00DE7194" w:rsidRDefault="00DE7194" w:rsidP="00DE7194">
      <w:pPr>
        <w:pStyle w:val="NoSpacing"/>
        <w:ind w:left="720"/>
        <w:rPr>
          <w:sz w:val="20"/>
          <w:szCs w:val="20"/>
        </w:rPr>
      </w:pPr>
    </w:p>
    <w:p w14:paraId="69F1E764" w14:textId="77777777" w:rsidR="00DE7194" w:rsidRPr="00DE7194" w:rsidRDefault="00DE7194" w:rsidP="00DE7194">
      <w:pPr>
        <w:pStyle w:val="NoSpacing"/>
        <w:ind w:left="720"/>
        <w:rPr>
          <w:sz w:val="20"/>
          <w:szCs w:val="20"/>
        </w:rPr>
      </w:pPr>
      <w:r w:rsidRPr="00DE7194">
        <w:rPr>
          <w:sz w:val="20"/>
          <w:szCs w:val="20"/>
          <w:highlight w:val="green"/>
        </w:rPr>
        <w:t>Agreement:</w:t>
      </w:r>
    </w:p>
    <w:p w14:paraId="0046DB8C" w14:textId="77777777" w:rsidR="00DE7194" w:rsidRPr="00DE7194" w:rsidRDefault="00DE7194" w:rsidP="00DE7194">
      <w:pPr>
        <w:pStyle w:val="NoSpacing"/>
        <w:ind w:left="720"/>
        <w:rPr>
          <w:i/>
          <w:iCs/>
          <w:sz w:val="20"/>
          <w:szCs w:val="20"/>
        </w:rPr>
      </w:pPr>
      <w:r w:rsidRPr="00DE7194">
        <w:rPr>
          <w:i/>
          <w:iCs/>
          <w:sz w:val="20"/>
          <w:szCs w:val="20"/>
        </w:rPr>
        <w:t xml:space="preserve">For </w:t>
      </w:r>
      <w:r w:rsidRPr="00DE7194">
        <w:rPr>
          <w:i/>
          <w:iCs/>
          <w:sz w:val="20"/>
          <w:szCs w:val="20"/>
          <w:highlight w:val="cyan"/>
        </w:rPr>
        <w:t>eMTC</w:t>
      </w:r>
      <w:r w:rsidRPr="00DE7194">
        <w:rPr>
          <w:i/>
          <w:iCs/>
          <w:sz w:val="20"/>
          <w:szCs w:val="20"/>
        </w:rPr>
        <w:t>, if the UE has initiated an PUSCH transmission using pre-configured uplink resources ending in subframe n, the UE shall start or restart to monitor the MPDCCH from DL subframe n+4+K_mac (where K_mac is defined as in NR-NTN).</w:t>
      </w:r>
    </w:p>
    <w:p w14:paraId="396132C5" w14:textId="77777777" w:rsidR="00DE7194" w:rsidRPr="00DE7194" w:rsidRDefault="00DE7194" w:rsidP="00DE7194">
      <w:pPr>
        <w:pStyle w:val="NoSpacing"/>
        <w:ind w:left="720"/>
        <w:rPr>
          <w:sz w:val="20"/>
          <w:szCs w:val="20"/>
        </w:rPr>
      </w:pPr>
    </w:p>
    <w:p w14:paraId="60E59026" w14:textId="77777777" w:rsidR="00DE7194" w:rsidRPr="00DE7194" w:rsidRDefault="00DE7194" w:rsidP="00DE7194">
      <w:pPr>
        <w:pStyle w:val="NoSpacing"/>
        <w:ind w:left="720"/>
        <w:rPr>
          <w:sz w:val="20"/>
          <w:szCs w:val="20"/>
        </w:rPr>
      </w:pPr>
      <w:r w:rsidRPr="00DE7194">
        <w:rPr>
          <w:sz w:val="20"/>
          <w:szCs w:val="20"/>
          <w:highlight w:val="green"/>
        </w:rPr>
        <w:t>Agreement:</w:t>
      </w:r>
    </w:p>
    <w:p w14:paraId="61D7EF33" w14:textId="77777777" w:rsidR="00DE7194" w:rsidRPr="00DE7194" w:rsidRDefault="00DE7194" w:rsidP="00DE7194">
      <w:pPr>
        <w:pStyle w:val="NoSpacing"/>
        <w:ind w:left="720"/>
        <w:rPr>
          <w:i/>
          <w:iCs/>
          <w:sz w:val="20"/>
          <w:szCs w:val="20"/>
        </w:rPr>
      </w:pPr>
      <w:r w:rsidRPr="00DE7194">
        <w:rPr>
          <w:i/>
          <w:iCs/>
          <w:sz w:val="20"/>
          <w:szCs w:val="20"/>
        </w:rPr>
        <w:t>Support PUR at least for GEO-based IoT NTN in Rel-17</w:t>
      </w:r>
    </w:p>
    <w:p w14:paraId="340058DC" w14:textId="77777777" w:rsidR="00DE7194" w:rsidRPr="00DE7194" w:rsidRDefault="00DE7194" w:rsidP="00DE7194">
      <w:pPr>
        <w:pStyle w:val="NoSpacing"/>
        <w:ind w:left="720"/>
        <w:rPr>
          <w:i/>
          <w:iCs/>
          <w:sz w:val="20"/>
          <w:szCs w:val="20"/>
        </w:rPr>
      </w:pPr>
      <w:r w:rsidRPr="00DE7194">
        <w:rPr>
          <w:i/>
          <w:iCs/>
          <w:sz w:val="20"/>
          <w:szCs w:val="20"/>
        </w:rPr>
        <w:t>FFS: for NGSO-based IoT NTN.</w:t>
      </w:r>
    </w:p>
    <w:p w14:paraId="0C5DC7E4" w14:textId="77777777" w:rsidR="00DE7194" w:rsidRDefault="00DE7194" w:rsidP="007E0308"/>
    <w:p w14:paraId="23D5A757" w14:textId="59352390" w:rsidR="006F32B6" w:rsidRDefault="007E0308" w:rsidP="00EC7957">
      <w:pPr>
        <w:rPr>
          <w:lang w:eastAsia="ja-JP"/>
        </w:rPr>
      </w:pPr>
      <w:r>
        <w:rPr>
          <w:lang w:eastAsia="ja-JP"/>
        </w:rPr>
        <w:t xml:space="preserve">Consensus still has not been made on whether to support PUR for NGSO-based IoT NTN. The PUR feature allows the UE to use the preconfigured uplink resource to UL transmission. </w:t>
      </w:r>
      <w:r w:rsidR="00EC7957">
        <w:rPr>
          <w:lang w:eastAsia="ja-JP"/>
        </w:rPr>
        <w:t>A</w:t>
      </w:r>
      <w:r w:rsidR="006F32B6">
        <w:rPr>
          <w:lang w:eastAsia="ja-JP"/>
        </w:rPr>
        <w:t>ccording to the description in TS 36.300, Section 7.3d.1:</w:t>
      </w:r>
    </w:p>
    <w:p w14:paraId="4FD39544" w14:textId="0FC9C8F1" w:rsidR="006F32B6" w:rsidRPr="006F32B6" w:rsidRDefault="006F32B6" w:rsidP="006F32B6">
      <w:pPr>
        <w:ind w:left="720"/>
        <w:rPr>
          <w:i/>
          <w:iCs/>
        </w:rPr>
      </w:pPr>
      <w:r w:rsidRPr="006F32B6">
        <w:rPr>
          <w:i/>
          <w:iCs/>
          <w:lang w:eastAsia="ja-JP"/>
        </w:rPr>
        <w:t>‘</w:t>
      </w:r>
      <w:r w:rsidRPr="006F32B6">
        <w:rPr>
          <w:i/>
          <w:iCs/>
        </w:rPr>
        <w:t xml:space="preserve">The UE may request to be configured with a PUR or to have a PUR configuration released while in RRC_CONNECTED mode. The (ng-)eNB decides to configure a PUR that may be based on UE's request, UE's subscription information and/or local policy. </w:t>
      </w:r>
      <w:r w:rsidRPr="006F32B6">
        <w:rPr>
          <w:i/>
          <w:iCs/>
          <w:highlight w:val="cyan"/>
        </w:rPr>
        <w:t>The PUR is only valid in the cell where the configuration was received</w:t>
      </w:r>
      <w:r w:rsidRPr="006F32B6">
        <w:rPr>
          <w:i/>
          <w:iCs/>
        </w:rPr>
        <w:t>.</w:t>
      </w:r>
      <w:r>
        <w:rPr>
          <w:i/>
          <w:iCs/>
        </w:rPr>
        <w:t>’</w:t>
      </w:r>
    </w:p>
    <w:p w14:paraId="3B413288" w14:textId="620DCD1B" w:rsidR="00DE7194" w:rsidRPr="00592E98" w:rsidRDefault="006F32B6" w:rsidP="007E0308">
      <w:pPr>
        <w:rPr>
          <w:rFonts w:eastAsia="Yu Mincho"/>
          <w:lang w:eastAsia="ja-JP"/>
        </w:rPr>
      </w:pPr>
      <w:r>
        <w:rPr>
          <w:lang w:eastAsia="ja-JP"/>
        </w:rPr>
        <w:t>If the UE changes cell, the configured PUR is not valid any longer</w:t>
      </w:r>
      <w:r w:rsidR="00592E98">
        <w:rPr>
          <w:lang w:eastAsia="ja-JP"/>
        </w:rPr>
        <w:t>, and shall be reconfigured if needed. For NGSO scenarios, the UE may need to perform cell reselection frequently. The</w:t>
      </w:r>
      <w:r w:rsidR="00EC7957">
        <w:rPr>
          <w:lang w:eastAsia="ja-JP"/>
        </w:rPr>
        <w:t>refore, the</w:t>
      </w:r>
      <w:r w:rsidR="00592E98">
        <w:rPr>
          <w:lang w:eastAsia="ja-JP"/>
        </w:rPr>
        <w:t xml:space="preserve"> configure</w:t>
      </w:r>
      <w:r w:rsidR="00EC7957">
        <w:rPr>
          <w:lang w:eastAsia="ja-JP"/>
        </w:rPr>
        <w:t>d</w:t>
      </w:r>
      <w:r w:rsidR="00592E98">
        <w:rPr>
          <w:lang w:eastAsia="ja-JP"/>
        </w:rPr>
        <w:t xml:space="preserve"> PUR will be invalid</w:t>
      </w:r>
      <w:r w:rsidR="00EC7957">
        <w:rPr>
          <w:lang w:eastAsia="ja-JP"/>
        </w:rPr>
        <w:t xml:space="preserve"> for a short time. The IoT UEs may not have the need to transmit data during that period. The preconfigured resource is wasted. </w:t>
      </w:r>
      <w:r w:rsidR="00592E98">
        <w:rPr>
          <w:lang w:eastAsia="ja-JP"/>
        </w:rPr>
        <w:t>If PUR is enabled for NGSO scenarios, po</w:t>
      </w:r>
      <w:r w:rsidR="00F40F9E">
        <w:rPr>
          <w:lang w:eastAsia="ja-JP"/>
        </w:rPr>
        <w:t xml:space="preserve">tential enhancements are needed to </w:t>
      </w:r>
      <w:r w:rsidR="001034AF">
        <w:rPr>
          <w:lang w:eastAsia="ja-JP"/>
        </w:rPr>
        <w:t xml:space="preserve">make the legacy PUR feature more applicable. For time being, there is no need to support </w:t>
      </w:r>
      <w:r w:rsidR="001034AF" w:rsidRPr="001034AF">
        <w:rPr>
          <w:lang w:eastAsia="ja-JP"/>
        </w:rPr>
        <w:t xml:space="preserve">PUR </w:t>
      </w:r>
      <w:r w:rsidR="001034AF">
        <w:rPr>
          <w:lang w:eastAsia="ja-JP"/>
        </w:rPr>
        <w:t>N</w:t>
      </w:r>
      <w:r w:rsidR="001034AF" w:rsidRPr="001034AF">
        <w:rPr>
          <w:lang w:eastAsia="ja-JP"/>
        </w:rPr>
        <w:t>GEO-based IoT NTN in Rel-17</w:t>
      </w:r>
      <w:r w:rsidR="001034AF">
        <w:rPr>
          <w:lang w:eastAsia="ja-JP"/>
        </w:rPr>
        <w:t xml:space="preserve">. </w:t>
      </w:r>
    </w:p>
    <w:p w14:paraId="63A1BF42" w14:textId="03274273" w:rsidR="001034AF" w:rsidRDefault="001034AF" w:rsidP="000D763D">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 w:name="_Ref86257046"/>
      <w:r>
        <w:rPr>
          <w:b/>
          <w:bCs/>
          <w:lang w:eastAsia="ko-KR"/>
        </w:rPr>
        <w:lastRenderedPageBreak/>
        <w:t>There is no need to s</w:t>
      </w:r>
      <w:r w:rsidRPr="001034AF">
        <w:rPr>
          <w:b/>
          <w:bCs/>
          <w:lang w:eastAsia="ko-KR"/>
        </w:rPr>
        <w:t xml:space="preserve">upport PUR for </w:t>
      </w:r>
      <w:r>
        <w:rPr>
          <w:b/>
          <w:bCs/>
          <w:lang w:eastAsia="ko-KR"/>
        </w:rPr>
        <w:t>N</w:t>
      </w:r>
      <w:r w:rsidRPr="001034AF">
        <w:rPr>
          <w:b/>
          <w:bCs/>
          <w:lang w:eastAsia="ko-KR"/>
        </w:rPr>
        <w:t>GEO-based IoT NTN in Rel-17</w:t>
      </w:r>
      <w:r>
        <w:rPr>
          <w:b/>
          <w:bCs/>
          <w:lang w:eastAsia="ko-KR"/>
        </w:rPr>
        <w:t xml:space="preserve">. </w:t>
      </w:r>
    </w:p>
    <w:bookmarkEnd w:id="1"/>
    <w:p w14:paraId="6A69CE9B" w14:textId="77777777" w:rsidR="00EB1700" w:rsidRPr="00B328F2" w:rsidRDefault="00EB1700" w:rsidP="00456D36">
      <w:pPr>
        <w:rPr>
          <w:lang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77777777" w:rsidR="00D56353" w:rsidRPr="00B328F2" w:rsidRDefault="00D56353" w:rsidP="00D56353">
      <w:r w:rsidRPr="00B328F2">
        <w:t xml:space="preserve">From the discussion, we have the following observations and proposals: </w:t>
      </w:r>
    </w:p>
    <w:p w14:paraId="2C09D0F4" w14:textId="2E6D1A0B" w:rsidR="004D689E" w:rsidRDefault="00923202" w:rsidP="004D689E">
      <w:pPr>
        <w:rPr>
          <w:rFonts w:eastAsia="MS Mincho" w:cs="Times New Roman"/>
          <w:b/>
          <w:bCs/>
          <w:kern w:val="2"/>
          <w:lang w:eastAsia="en-US"/>
        </w:rPr>
      </w:pPr>
      <w:r>
        <w:rPr>
          <w:rFonts w:eastAsia="MS Mincho" w:cs="Times New Roman"/>
          <w:b/>
          <w:bCs/>
          <w:kern w:val="2"/>
          <w:lang w:eastAsia="en-US"/>
        </w:rPr>
        <w:fldChar w:fldCharType="begin"/>
      </w:r>
      <w:r>
        <w:rPr>
          <w:rFonts w:eastAsia="MS Mincho" w:cs="Times New Roman"/>
          <w:b/>
          <w:bCs/>
          <w:kern w:val="2"/>
          <w:lang w:eastAsia="en-US"/>
        </w:rPr>
        <w:instrText xml:space="preserve"> REF _Ref86762039 \w \h </w:instrText>
      </w:r>
      <w:r>
        <w:rPr>
          <w:rFonts w:eastAsia="MS Mincho" w:cs="Times New Roman"/>
          <w:b/>
          <w:bCs/>
          <w:kern w:val="2"/>
          <w:lang w:eastAsia="en-US"/>
        </w:rPr>
      </w:r>
      <w:r>
        <w:rPr>
          <w:rFonts w:eastAsia="MS Mincho" w:cs="Times New Roman"/>
          <w:b/>
          <w:bCs/>
          <w:kern w:val="2"/>
          <w:lang w:eastAsia="en-US"/>
        </w:rPr>
        <w:fldChar w:fldCharType="separate"/>
      </w:r>
      <w:r>
        <w:rPr>
          <w:rFonts w:eastAsia="MS Mincho" w:cs="Times New Roman"/>
          <w:b/>
          <w:bCs/>
          <w:kern w:val="2"/>
          <w:lang w:eastAsia="en-US"/>
        </w:rPr>
        <w:t>Proposal 1</w:t>
      </w:r>
      <w:r>
        <w:rPr>
          <w:rFonts w:eastAsia="MS Mincho" w:cs="Times New Roman"/>
          <w:b/>
          <w:bCs/>
          <w:kern w:val="2"/>
          <w:lang w:eastAsia="en-US"/>
        </w:rPr>
        <w:fldChar w:fldCharType="end"/>
      </w:r>
      <w:r>
        <w:rPr>
          <w:rFonts w:eastAsia="MS Mincho" w:cs="Times New Roman"/>
          <w:b/>
          <w:bCs/>
          <w:kern w:val="2"/>
          <w:lang w:eastAsia="en-US"/>
        </w:rPr>
        <w:t xml:space="preserve">. </w:t>
      </w:r>
      <w:r>
        <w:rPr>
          <w:rFonts w:eastAsia="MS Mincho" w:cs="Times New Roman"/>
          <w:b/>
          <w:bCs/>
          <w:kern w:val="2"/>
          <w:lang w:eastAsia="en-US"/>
        </w:rPr>
        <w:fldChar w:fldCharType="begin"/>
      </w:r>
      <w:r>
        <w:rPr>
          <w:rFonts w:eastAsia="MS Mincho" w:cs="Times New Roman"/>
          <w:b/>
          <w:bCs/>
          <w:kern w:val="2"/>
          <w:lang w:eastAsia="en-US"/>
        </w:rPr>
        <w:instrText xml:space="preserve"> REF _Ref86762039 \h </w:instrText>
      </w:r>
      <w:r>
        <w:rPr>
          <w:rFonts w:eastAsia="MS Mincho" w:cs="Times New Roman"/>
          <w:b/>
          <w:bCs/>
          <w:kern w:val="2"/>
          <w:lang w:eastAsia="en-US"/>
        </w:rPr>
      </w:r>
      <w:r>
        <w:rPr>
          <w:rFonts w:eastAsia="MS Mincho" w:cs="Times New Roman"/>
          <w:b/>
          <w:bCs/>
          <w:kern w:val="2"/>
          <w:lang w:eastAsia="en-US"/>
        </w:rPr>
        <w:fldChar w:fldCharType="separate"/>
      </w:r>
      <w:r w:rsidRPr="000F5C30">
        <w:rPr>
          <w:b/>
          <w:bCs/>
          <w:lang w:eastAsia="ko-KR"/>
        </w:rPr>
        <w:t>For NB-IoT in IoT NTN, if the UE determines that a preamble retransmission is necessary, the choice of a suitable preamble retransmission subframe shall be delayed by Koffset as compared to current specifications.</w:t>
      </w:r>
      <w:r>
        <w:rPr>
          <w:rFonts w:eastAsia="MS Mincho" w:cs="Times New Roman"/>
          <w:b/>
          <w:bCs/>
          <w:kern w:val="2"/>
          <w:lang w:eastAsia="en-US"/>
        </w:rPr>
        <w:fldChar w:fldCharType="end"/>
      </w:r>
    </w:p>
    <w:p w14:paraId="5724A67E" w14:textId="25C25A2A" w:rsidR="004D689E" w:rsidRDefault="00D56353" w:rsidP="004D689E">
      <w:pPr>
        <w:rPr>
          <w:b/>
          <w:bCs/>
          <w:lang w:eastAsia="ko-KR"/>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_Ref86257046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4D689E">
        <w:rPr>
          <w:rFonts w:eastAsia="MS Mincho" w:cs="Times New Roman"/>
          <w:b/>
          <w:bCs/>
          <w:kern w:val="2"/>
          <w:lang w:eastAsia="en-US"/>
        </w:rPr>
        <w:t>Proposal 2</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_Ref86257046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4D689E">
        <w:rPr>
          <w:b/>
          <w:bCs/>
          <w:lang w:eastAsia="ko-KR"/>
        </w:rPr>
        <w:t>There is no need</w:t>
      </w:r>
      <w:r w:rsidR="004D689E">
        <w:rPr>
          <w:b/>
          <w:bCs/>
        </w:rPr>
        <w:t xml:space="preserve"> </w:t>
      </w:r>
      <w:r w:rsidR="004D689E">
        <w:rPr>
          <w:b/>
          <w:bCs/>
          <w:lang w:eastAsia="ko-KR"/>
        </w:rPr>
        <w:t>to s</w:t>
      </w:r>
      <w:r w:rsidR="004D689E" w:rsidRPr="001034AF">
        <w:rPr>
          <w:b/>
          <w:bCs/>
          <w:lang w:eastAsia="ko-KR"/>
        </w:rPr>
        <w:t xml:space="preserve">upport PUR for </w:t>
      </w:r>
      <w:r w:rsidR="004D689E">
        <w:rPr>
          <w:b/>
          <w:bCs/>
          <w:lang w:eastAsia="ko-KR"/>
        </w:rPr>
        <w:t>N</w:t>
      </w:r>
      <w:r w:rsidR="004D689E" w:rsidRPr="001034AF">
        <w:rPr>
          <w:b/>
          <w:bCs/>
          <w:lang w:eastAsia="ko-KR"/>
        </w:rPr>
        <w:t>GEO-based IoT NTN in Rel-17</w:t>
      </w:r>
      <w:r w:rsidR="004D689E">
        <w:rPr>
          <w:b/>
          <w:bCs/>
          <w:lang w:eastAsia="ko-KR"/>
        </w:rPr>
        <w:t xml:space="preserve">. </w:t>
      </w:r>
    </w:p>
    <w:p w14:paraId="0C608F38" w14:textId="56DADFA3" w:rsidR="00690981" w:rsidRPr="00B328F2" w:rsidRDefault="00D56353" w:rsidP="004D689E">
      <w:pPr>
        <w:pStyle w:val="Heading1"/>
        <w:ind w:left="431" w:hanging="431"/>
        <w:rPr>
          <w:lang w:eastAsia="ja-JP"/>
        </w:rPr>
      </w:pPr>
      <w:r w:rsidRPr="004355A5">
        <w:rPr>
          <w:rFonts w:eastAsia="MS Mincho" w:cs="Times New Roman"/>
          <w:b/>
          <w:bCs/>
          <w:kern w:val="2"/>
          <w:lang w:eastAsia="en-US"/>
        </w:rPr>
        <w:fldChar w:fldCharType="end"/>
      </w:r>
      <w:r w:rsidR="00A066AC" w:rsidRPr="004355A5">
        <w:rPr>
          <w:rFonts w:eastAsia="MS Mincho" w:cs="Times New Roman"/>
          <w:b/>
          <w:bCs/>
          <w:kern w:val="2"/>
          <w:lang w:eastAsia="en-US"/>
        </w:rPr>
        <w:t xml:space="preserve"> </w:t>
      </w:r>
      <w:r w:rsidR="00690981" w:rsidRPr="00B328F2">
        <w:rPr>
          <w:lang w:eastAsia="en-US"/>
        </w:rPr>
        <w:t>References</w:t>
      </w:r>
      <w:r w:rsidR="00690981" w:rsidRPr="00B328F2">
        <w:rPr>
          <w:lang w:eastAsia="ja-JP"/>
        </w:rPr>
        <w:t xml:space="preserve"> </w:t>
      </w:r>
    </w:p>
    <w:p w14:paraId="46529FAE" w14:textId="77777777" w:rsidR="00C35F00" w:rsidRPr="007D46E2" w:rsidRDefault="00C35F00" w:rsidP="00C35F00">
      <w:pPr>
        <w:pStyle w:val="ListParagraph"/>
        <w:widowControl w:val="0"/>
        <w:numPr>
          <w:ilvl w:val="0"/>
          <w:numId w:val="14"/>
        </w:numPr>
        <w:adjustRightInd w:val="0"/>
        <w:snapToGrid w:val="0"/>
        <w:spacing w:line="300" w:lineRule="auto"/>
        <w:contextualSpacing w:val="0"/>
      </w:pPr>
      <w:r w:rsidRPr="007D46E2">
        <w:rPr>
          <w:bCs/>
        </w:rPr>
        <w:t>RP-211601, “WID on NB-IoT/eMTC support for NTN NR-NTN”, RAN #92-e, Jun. 2021.</w:t>
      </w:r>
    </w:p>
    <w:p w14:paraId="6AC4B5F8" w14:textId="77777777" w:rsidR="00C35F00" w:rsidRPr="00B328F2" w:rsidRDefault="00C35F00" w:rsidP="00C35F00">
      <w:pPr>
        <w:pStyle w:val="ListParagraph"/>
        <w:widowControl w:val="0"/>
        <w:numPr>
          <w:ilvl w:val="0"/>
          <w:numId w:val="14"/>
        </w:numPr>
        <w:adjustRightInd w:val="0"/>
        <w:snapToGrid w:val="0"/>
        <w:spacing w:line="300" w:lineRule="auto"/>
        <w:contextualSpacing w:val="0"/>
      </w:pPr>
      <w:r w:rsidRPr="003F7CB4">
        <w:rPr>
          <w:bCs/>
        </w:rPr>
        <w:t>TR 36.763 V17.0.0, 3GPP TSG RAN; Study on Narrow-Band Internet of Things (NB-IoT) / enhanced Machine Type Communication (eMTC) support for Non-Terrestrial Networks (NTN) (Release 17), June 2021.</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2D78AC"/>
    <w:multiLevelType w:val="hybridMultilevel"/>
    <w:tmpl w:val="589478BE"/>
    <w:lvl w:ilvl="0" w:tplc="A468A7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1FED7309"/>
    <w:multiLevelType w:val="hybridMultilevel"/>
    <w:tmpl w:val="621AEC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0"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9960F29"/>
    <w:multiLevelType w:val="hybridMultilevel"/>
    <w:tmpl w:val="95A0AC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0C5B9D"/>
    <w:multiLevelType w:val="hybridMultilevel"/>
    <w:tmpl w:val="D98205DE"/>
    <w:lvl w:ilvl="0" w:tplc="A468A7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FE6304"/>
    <w:multiLevelType w:val="hybridMultilevel"/>
    <w:tmpl w:val="6A1064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4"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8"/>
  </w:num>
  <w:num w:numId="5">
    <w:abstractNumId w:val="14"/>
  </w:num>
  <w:num w:numId="6">
    <w:abstractNumId w:val="1"/>
  </w:num>
  <w:num w:numId="7">
    <w:abstractNumId w:val="8"/>
  </w:num>
  <w:num w:numId="8">
    <w:abstractNumId w:val="12"/>
  </w:num>
  <w:num w:numId="9">
    <w:abstractNumId w:val="23"/>
  </w:num>
  <w:num w:numId="10">
    <w:abstractNumId w:val="25"/>
  </w:num>
  <w:num w:numId="11">
    <w:abstractNumId w:val="15"/>
  </w:num>
  <w:num w:numId="12">
    <w:abstractNumId w:val="19"/>
  </w:num>
  <w:num w:numId="13">
    <w:abstractNumId w:val="7"/>
  </w:num>
  <w:num w:numId="14">
    <w:abstractNumId w:val="6"/>
  </w:num>
  <w:num w:numId="15">
    <w:abstractNumId w:val="22"/>
  </w:num>
  <w:num w:numId="16">
    <w:abstractNumId w:val="3"/>
  </w:num>
  <w:num w:numId="17">
    <w:abstractNumId w:val="16"/>
  </w:num>
  <w:num w:numId="18">
    <w:abstractNumId w:val="11"/>
  </w:num>
  <w:num w:numId="19">
    <w:abstractNumId w:val="13"/>
  </w:num>
  <w:num w:numId="20">
    <w:abstractNumId w:val="4"/>
  </w:num>
  <w:num w:numId="21">
    <w:abstractNumId w:val="0"/>
  </w:num>
  <w:num w:numId="22">
    <w:abstractNumId w:val="24"/>
  </w:num>
  <w:num w:numId="23">
    <w:abstractNumId w:val="21"/>
  </w:num>
  <w:num w:numId="24">
    <w:abstractNumId w:val="5"/>
  </w:num>
  <w:num w:numId="25">
    <w:abstractNumId w:val="17"/>
  </w:num>
  <w:num w:numId="26">
    <w:abstractNumId w:val="2"/>
  </w:num>
  <w:num w:numId="27">
    <w:abstractNumId w:val="2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ctiveWritingStyle w:appName="MSWord" w:lang="en-GB" w:vendorID="64" w:dllVersion="0" w:nlCheck="1" w:checkStyle="0"/>
  <w:activeWritingStyle w:appName="MSWord" w:lang="en-US" w:vendorID="64" w:dllVersion="0" w:nlCheck="1" w:checkStyle="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C4"/>
    <w:rsid w:val="000101E2"/>
    <w:rsid w:val="0007000C"/>
    <w:rsid w:val="0007488B"/>
    <w:rsid w:val="00077D7F"/>
    <w:rsid w:val="00083FDC"/>
    <w:rsid w:val="00091C85"/>
    <w:rsid w:val="00093C6A"/>
    <w:rsid w:val="000B321B"/>
    <w:rsid w:val="000D763D"/>
    <w:rsid w:val="000F5C30"/>
    <w:rsid w:val="000F748C"/>
    <w:rsid w:val="001034AF"/>
    <w:rsid w:val="00125809"/>
    <w:rsid w:val="00131819"/>
    <w:rsid w:val="00162BBF"/>
    <w:rsid w:val="001637F7"/>
    <w:rsid w:val="001669F9"/>
    <w:rsid w:val="0018305D"/>
    <w:rsid w:val="001966F4"/>
    <w:rsid w:val="001A45BA"/>
    <w:rsid w:val="001B6D2F"/>
    <w:rsid w:val="001C4290"/>
    <w:rsid w:val="001E1E68"/>
    <w:rsid w:val="001E3173"/>
    <w:rsid w:val="001F3329"/>
    <w:rsid w:val="00205321"/>
    <w:rsid w:val="00206EC2"/>
    <w:rsid w:val="002119A6"/>
    <w:rsid w:val="0021240C"/>
    <w:rsid w:val="0021770D"/>
    <w:rsid w:val="00222AB7"/>
    <w:rsid w:val="00226B89"/>
    <w:rsid w:val="00246308"/>
    <w:rsid w:val="00255503"/>
    <w:rsid w:val="00261191"/>
    <w:rsid w:val="002807E0"/>
    <w:rsid w:val="00283459"/>
    <w:rsid w:val="0028440F"/>
    <w:rsid w:val="00284FD2"/>
    <w:rsid w:val="00290A58"/>
    <w:rsid w:val="002E38B4"/>
    <w:rsid w:val="002F19CD"/>
    <w:rsid w:val="002F62E5"/>
    <w:rsid w:val="0032095F"/>
    <w:rsid w:val="0033013B"/>
    <w:rsid w:val="00341228"/>
    <w:rsid w:val="00361A46"/>
    <w:rsid w:val="00362BCC"/>
    <w:rsid w:val="0036763D"/>
    <w:rsid w:val="00385CC4"/>
    <w:rsid w:val="0039022C"/>
    <w:rsid w:val="00391E3D"/>
    <w:rsid w:val="003938A2"/>
    <w:rsid w:val="003A67B8"/>
    <w:rsid w:val="003A6FE6"/>
    <w:rsid w:val="003B2BC7"/>
    <w:rsid w:val="003D4E45"/>
    <w:rsid w:val="003F385B"/>
    <w:rsid w:val="003F394F"/>
    <w:rsid w:val="0040214A"/>
    <w:rsid w:val="00402CE1"/>
    <w:rsid w:val="004046B7"/>
    <w:rsid w:val="004355A5"/>
    <w:rsid w:val="0044562D"/>
    <w:rsid w:val="00456D36"/>
    <w:rsid w:val="00462C04"/>
    <w:rsid w:val="0046759C"/>
    <w:rsid w:val="00475B53"/>
    <w:rsid w:val="00477DAC"/>
    <w:rsid w:val="0048008F"/>
    <w:rsid w:val="0049651D"/>
    <w:rsid w:val="004A6A8B"/>
    <w:rsid w:val="004C02BC"/>
    <w:rsid w:val="004D689E"/>
    <w:rsid w:val="004F6922"/>
    <w:rsid w:val="00501082"/>
    <w:rsid w:val="005105EF"/>
    <w:rsid w:val="00510F89"/>
    <w:rsid w:val="0051324E"/>
    <w:rsid w:val="00520120"/>
    <w:rsid w:val="00520F9E"/>
    <w:rsid w:val="005301FE"/>
    <w:rsid w:val="005308A7"/>
    <w:rsid w:val="00535022"/>
    <w:rsid w:val="00543F48"/>
    <w:rsid w:val="005607A2"/>
    <w:rsid w:val="00577BCE"/>
    <w:rsid w:val="00582065"/>
    <w:rsid w:val="00590118"/>
    <w:rsid w:val="00591258"/>
    <w:rsid w:val="00592E98"/>
    <w:rsid w:val="005A7D17"/>
    <w:rsid w:val="005B194D"/>
    <w:rsid w:val="005B3346"/>
    <w:rsid w:val="005B4545"/>
    <w:rsid w:val="005C6F8B"/>
    <w:rsid w:val="005E6866"/>
    <w:rsid w:val="005F05B2"/>
    <w:rsid w:val="005F5375"/>
    <w:rsid w:val="00611324"/>
    <w:rsid w:val="00624631"/>
    <w:rsid w:val="00642716"/>
    <w:rsid w:val="00644B70"/>
    <w:rsid w:val="00660A2F"/>
    <w:rsid w:val="00675F2E"/>
    <w:rsid w:val="006811B4"/>
    <w:rsid w:val="00683E93"/>
    <w:rsid w:val="00690981"/>
    <w:rsid w:val="006C6F77"/>
    <w:rsid w:val="006E2CF7"/>
    <w:rsid w:val="006F2F0A"/>
    <w:rsid w:val="006F32B6"/>
    <w:rsid w:val="00700DAB"/>
    <w:rsid w:val="00711381"/>
    <w:rsid w:val="00715CFA"/>
    <w:rsid w:val="0072276F"/>
    <w:rsid w:val="007456A0"/>
    <w:rsid w:val="00746AB6"/>
    <w:rsid w:val="00763918"/>
    <w:rsid w:val="00766F99"/>
    <w:rsid w:val="0079675C"/>
    <w:rsid w:val="00796D6A"/>
    <w:rsid w:val="007A1551"/>
    <w:rsid w:val="007E0308"/>
    <w:rsid w:val="007E5836"/>
    <w:rsid w:val="007F24FF"/>
    <w:rsid w:val="007F6219"/>
    <w:rsid w:val="007F7C30"/>
    <w:rsid w:val="0080734E"/>
    <w:rsid w:val="008114A8"/>
    <w:rsid w:val="0082773D"/>
    <w:rsid w:val="00831DD5"/>
    <w:rsid w:val="0083784B"/>
    <w:rsid w:val="00854FD2"/>
    <w:rsid w:val="00864F78"/>
    <w:rsid w:val="00866F53"/>
    <w:rsid w:val="008C088D"/>
    <w:rsid w:val="008D045F"/>
    <w:rsid w:val="008D2FD0"/>
    <w:rsid w:val="008E0600"/>
    <w:rsid w:val="008F63B5"/>
    <w:rsid w:val="00902724"/>
    <w:rsid w:val="00923202"/>
    <w:rsid w:val="009257D5"/>
    <w:rsid w:val="009440B7"/>
    <w:rsid w:val="009562BC"/>
    <w:rsid w:val="00957397"/>
    <w:rsid w:val="009658A0"/>
    <w:rsid w:val="0097429C"/>
    <w:rsid w:val="009829C8"/>
    <w:rsid w:val="00986DD2"/>
    <w:rsid w:val="009C50E8"/>
    <w:rsid w:val="009D12EC"/>
    <w:rsid w:val="00A066AC"/>
    <w:rsid w:val="00A277BA"/>
    <w:rsid w:val="00A33410"/>
    <w:rsid w:val="00A91F3B"/>
    <w:rsid w:val="00AA3618"/>
    <w:rsid w:val="00AA4983"/>
    <w:rsid w:val="00AA5A3E"/>
    <w:rsid w:val="00AB313A"/>
    <w:rsid w:val="00AC64A2"/>
    <w:rsid w:val="00AD2001"/>
    <w:rsid w:val="00AF056B"/>
    <w:rsid w:val="00AF3AED"/>
    <w:rsid w:val="00B016E3"/>
    <w:rsid w:val="00B12FA3"/>
    <w:rsid w:val="00B170DD"/>
    <w:rsid w:val="00B328F2"/>
    <w:rsid w:val="00B33918"/>
    <w:rsid w:val="00B42E97"/>
    <w:rsid w:val="00B46B23"/>
    <w:rsid w:val="00B610C4"/>
    <w:rsid w:val="00B8582D"/>
    <w:rsid w:val="00B93FA7"/>
    <w:rsid w:val="00B945CD"/>
    <w:rsid w:val="00BB2C34"/>
    <w:rsid w:val="00BB2D3C"/>
    <w:rsid w:val="00BB7C53"/>
    <w:rsid w:val="00BD41F2"/>
    <w:rsid w:val="00BD684A"/>
    <w:rsid w:val="00BE7E7B"/>
    <w:rsid w:val="00BF79EA"/>
    <w:rsid w:val="00C137E1"/>
    <w:rsid w:val="00C155C4"/>
    <w:rsid w:val="00C1794A"/>
    <w:rsid w:val="00C23C9C"/>
    <w:rsid w:val="00C33FEC"/>
    <w:rsid w:val="00C35F00"/>
    <w:rsid w:val="00C546C5"/>
    <w:rsid w:val="00C67DEF"/>
    <w:rsid w:val="00C70A6E"/>
    <w:rsid w:val="00C753A5"/>
    <w:rsid w:val="00C82C5D"/>
    <w:rsid w:val="00C86E99"/>
    <w:rsid w:val="00C951CB"/>
    <w:rsid w:val="00CB5E62"/>
    <w:rsid w:val="00CC3120"/>
    <w:rsid w:val="00CC6E06"/>
    <w:rsid w:val="00CE0D3A"/>
    <w:rsid w:val="00CE6416"/>
    <w:rsid w:val="00D105A6"/>
    <w:rsid w:val="00D14B9F"/>
    <w:rsid w:val="00D21881"/>
    <w:rsid w:val="00D321F4"/>
    <w:rsid w:val="00D33197"/>
    <w:rsid w:val="00D33582"/>
    <w:rsid w:val="00D427C5"/>
    <w:rsid w:val="00D504DD"/>
    <w:rsid w:val="00D50D06"/>
    <w:rsid w:val="00D54606"/>
    <w:rsid w:val="00D56353"/>
    <w:rsid w:val="00D579D0"/>
    <w:rsid w:val="00D61F34"/>
    <w:rsid w:val="00D63805"/>
    <w:rsid w:val="00D6488D"/>
    <w:rsid w:val="00D67D47"/>
    <w:rsid w:val="00DA45AC"/>
    <w:rsid w:val="00DE32E0"/>
    <w:rsid w:val="00DE7194"/>
    <w:rsid w:val="00DF1712"/>
    <w:rsid w:val="00E25C19"/>
    <w:rsid w:val="00E317CA"/>
    <w:rsid w:val="00E42A72"/>
    <w:rsid w:val="00E44E1B"/>
    <w:rsid w:val="00E46466"/>
    <w:rsid w:val="00E72B8B"/>
    <w:rsid w:val="00E86DDC"/>
    <w:rsid w:val="00E91575"/>
    <w:rsid w:val="00E927F3"/>
    <w:rsid w:val="00EA4DB2"/>
    <w:rsid w:val="00EA7A7D"/>
    <w:rsid w:val="00EB1700"/>
    <w:rsid w:val="00EC0160"/>
    <w:rsid w:val="00EC3EED"/>
    <w:rsid w:val="00EC7957"/>
    <w:rsid w:val="00EC7D8F"/>
    <w:rsid w:val="00EE7A6B"/>
    <w:rsid w:val="00F061C2"/>
    <w:rsid w:val="00F226E3"/>
    <w:rsid w:val="00F26C99"/>
    <w:rsid w:val="00F40F9E"/>
    <w:rsid w:val="00F5312E"/>
    <w:rsid w:val="00FE00FB"/>
    <w:rsid w:val="00FE3729"/>
    <w:rsid w:val="00FF71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paragraph" w:styleId="NoSpacing">
    <w:name w:val="No Spacing"/>
    <w:uiPriority w:val="1"/>
    <w:qFormat/>
    <w:rsid w:val="00591258"/>
    <w:pPr>
      <w:autoSpaceDE w:val="0"/>
      <w:autoSpaceDN w:val="0"/>
      <w:adjustRightInd w:val="0"/>
      <w:snapToGrid w:val="0"/>
      <w:spacing w:after="0" w:line="240" w:lineRule="auto"/>
      <w:jc w:val="both"/>
    </w:pPr>
    <w:rPr>
      <w:rFonts w:ascii="Times New Roman" w:eastAsia="SimSun" w:hAnsi="Times New Roman" w:cs="Times New Roman"/>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E7194"/>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E7194"/>
    <w:pPr>
      <w:overflowPunct w:val="0"/>
      <w:autoSpaceDE w:val="0"/>
      <w:autoSpaceDN w:val="0"/>
      <w:adjustRightInd w:val="0"/>
      <w:snapToGrid w:val="0"/>
      <w:spacing w:line="240" w:lineRule="auto"/>
    </w:pPr>
    <w:rPr>
      <w:rFonts w:eastAsia="MS Mincho" w:cs="Times New Roman"/>
      <w:szCs w:val="24"/>
      <w:lang w:val="en-US"/>
    </w:rPr>
  </w:style>
  <w:style w:type="character" w:customStyle="1" w:styleId="BodyTextChar1">
    <w:name w:val="Body Text Char1"/>
    <w:basedOn w:val="DefaultParagraphFont"/>
    <w:uiPriority w:val="99"/>
    <w:semiHidden/>
    <w:rsid w:val="00DE7194"/>
    <w:rPr>
      <w:rFonts w:ascii="Times New Roman" w:hAnsi="Times New Roman"/>
    </w:rPr>
  </w:style>
  <w:style w:type="paragraph" w:customStyle="1" w:styleId="B1">
    <w:name w:val="B1"/>
    <w:basedOn w:val="List"/>
    <w:rsid w:val="00577BCE"/>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 w:val="20"/>
      <w:szCs w:val="20"/>
      <w:lang w:eastAsia="zh-TW"/>
    </w:rPr>
  </w:style>
  <w:style w:type="paragraph" w:styleId="List">
    <w:name w:val="List"/>
    <w:basedOn w:val="Normal"/>
    <w:uiPriority w:val="99"/>
    <w:semiHidden/>
    <w:unhideWhenUsed/>
    <w:rsid w:val="00577BC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50</cp:revision>
  <dcterms:created xsi:type="dcterms:W3CDTF">2021-11-02T10:50:00Z</dcterms:created>
  <dcterms:modified xsi:type="dcterms:W3CDTF">2021-11-02T17:02:00Z</dcterms:modified>
</cp:coreProperties>
</file>